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C" w:rsidRPr="000D2574" w:rsidRDefault="00EA7EDC" w:rsidP="00EA7EDC">
      <w:pPr>
        <w:jc w:val="center"/>
        <w:rPr>
          <w:szCs w:val="24"/>
          <w:u w:val="single"/>
        </w:rPr>
      </w:pPr>
      <w:r w:rsidRPr="000D2574">
        <w:rPr>
          <w:szCs w:val="24"/>
          <w:u w:val="single"/>
        </w:rPr>
        <w:t>M e r k b l a t t</w:t>
      </w:r>
    </w:p>
    <w:p w:rsidR="00EA7EDC" w:rsidRPr="000D2574" w:rsidRDefault="00EA7EDC" w:rsidP="00EA7EDC">
      <w:pPr>
        <w:jc w:val="center"/>
        <w:rPr>
          <w:szCs w:val="24"/>
        </w:rPr>
      </w:pPr>
      <w:r w:rsidRPr="000D2574">
        <w:rPr>
          <w:szCs w:val="24"/>
          <w:u w:val="single"/>
        </w:rPr>
        <w:t>für die Anmeldung zur Zwischenprüfung</w:t>
      </w:r>
    </w:p>
    <w:p w:rsidR="00EA7EDC" w:rsidRPr="000D2574" w:rsidRDefault="00EA7EDC" w:rsidP="00EA7EDC">
      <w:pPr>
        <w:jc w:val="center"/>
        <w:rPr>
          <w:szCs w:val="24"/>
        </w:rPr>
      </w:pPr>
      <w:r w:rsidRPr="000D2574">
        <w:rPr>
          <w:szCs w:val="24"/>
          <w:u w:val="single"/>
        </w:rPr>
        <w:t xml:space="preserve">am </w:t>
      </w:r>
      <w:r>
        <w:rPr>
          <w:szCs w:val="24"/>
          <w:u w:val="single"/>
        </w:rPr>
        <w:t xml:space="preserve">7. November 2020 </w:t>
      </w:r>
      <w:r w:rsidRPr="000D2574">
        <w:rPr>
          <w:szCs w:val="24"/>
          <w:u w:val="single"/>
        </w:rPr>
        <w:t xml:space="preserve">nach der </w:t>
      </w:r>
      <w:r>
        <w:rPr>
          <w:szCs w:val="24"/>
          <w:u w:val="single"/>
        </w:rPr>
        <w:t>ReNoPat-Ausbildungsverordnung</w:t>
      </w:r>
    </w:p>
    <w:p w:rsidR="00EA7EDC" w:rsidRPr="000D2574" w:rsidRDefault="00EA7EDC" w:rsidP="00EA7EDC">
      <w:pPr>
        <w:jc w:val="center"/>
        <w:rPr>
          <w:szCs w:val="24"/>
        </w:rPr>
      </w:pPr>
      <w:r w:rsidRPr="000D2574">
        <w:rPr>
          <w:szCs w:val="24"/>
          <w:u w:val="single"/>
        </w:rPr>
        <w:t xml:space="preserve">vom </w:t>
      </w:r>
      <w:r>
        <w:rPr>
          <w:szCs w:val="24"/>
          <w:u w:val="single"/>
        </w:rPr>
        <w:t>29. August 2014</w:t>
      </w:r>
    </w:p>
    <w:p w:rsidR="00EA7EDC" w:rsidRPr="000D2574" w:rsidRDefault="00EA7EDC" w:rsidP="00EA7EDC">
      <w:pPr>
        <w:jc w:val="center"/>
        <w:rPr>
          <w:szCs w:val="24"/>
          <w:u w:val="single"/>
        </w:rPr>
      </w:pPr>
      <w:r w:rsidRPr="000D2574">
        <w:rPr>
          <w:szCs w:val="24"/>
          <w:u w:val="single"/>
        </w:rPr>
        <w:t>Die Zwischenprüfung ist schriftlich abzulegen.</w:t>
      </w: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</w:rPr>
        <w:tab/>
      </w: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</w:rPr>
        <w:t>Die Vorstände der Rechtsanwaltskammer und der Notarkammer bitten um Meldung für</w:t>
      </w:r>
    </w:p>
    <w:p w:rsidR="00EA7EDC" w:rsidRPr="000D2574" w:rsidRDefault="00EA7EDC" w:rsidP="00EA7EDC">
      <w:pPr>
        <w:rPr>
          <w:szCs w:val="24"/>
        </w:rPr>
      </w:pPr>
    </w:p>
    <w:p w:rsidR="00EA7EDC" w:rsidRPr="000D2574" w:rsidRDefault="00EA7EDC" w:rsidP="00EA7EDC">
      <w:pPr>
        <w:rPr>
          <w:szCs w:val="24"/>
        </w:rPr>
      </w:pPr>
    </w:p>
    <w:p w:rsidR="00EA7EDC" w:rsidRPr="000D2574" w:rsidRDefault="00EA7EDC" w:rsidP="00EA7EDC">
      <w:pPr>
        <w:rPr>
          <w:b/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b/>
          <w:szCs w:val="24"/>
          <w:u w:val="single"/>
        </w:rPr>
        <w:t xml:space="preserve">die Zwischenprüfung, die am </w:t>
      </w:r>
      <w:r>
        <w:rPr>
          <w:b/>
          <w:szCs w:val="24"/>
          <w:u w:val="single"/>
        </w:rPr>
        <w:t>7</w:t>
      </w:r>
      <w:r w:rsidRPr="000D2574">
        <w:rPr>
          <w:b/>
          <w:szCs w:val="24"/>
          <w:u w:val="single"/>
        </w:rPr>
        <w:t>. November 20</w:t>
      </w:r>
      <w:r>
        <w:rPr>
          <w:b/>
          <w:szCs w:val="24"/>
          <w:u w:val="single"/>
        </w:rPr>
        <w:t>20</w:t>
      </w:r>
    </w:p>
    <w:p w:rsidR="00EA7EDC" w:rsidRPr="000D2574" w:rsidRDefault="00EA7EDC" w:rsidP="00EA7EDC">
      <w:pPr>
        <w:rPr>
          <w:szCs w:val="24"/>
        </w:rPr>
      </w:pPr>
    </w:p>
    <w:p w:rsidR="00EA7EDC" w:rsidRDefault="00EA7EDC" w:rsidP="00EA7EDC">
      <w:pPr>
        <w:rPr>
          <w:szCs w:val="24"/>
        </w:rPr>
      </w:pPr>
      <w:r w:rsidRPr="000D2574">
        <w:rPr>
          <w:szCs w:val="24"/>
        </w:rPr>
        <w:t>stattfindet - § 48 Ber</w:t>
      </w:r>
      <w:r>
        <w:rPr>
          <w:szCs w:val="24"/>
        </w:rPr>
        <w:t>ufsbildungsgesetz  i.V. mit § 6 ReNoPat-Ausbildungsverordnung (ReNoPatAusbV</w:t>
      </w:r>
      <w:r w:rsidRPr="000D2574">
        <w:rPr>
          <w:szCs w:val="24"/>
        </w:rPr>
        <w:t xml:space="preserve"> vom </w:t>
      </w:r>
      <w:r>
        <w:rPr>
          <w:szCs w:val="24"/>
        </w:rPr>
        <w:t>29. August 2014 - BGBl I 2014</w:t>
      </w:r>
      <w:r w:rsidRPr="000D2574">
        <w:rPr>
          <w:szCs w:val="24"/>
        </w:rPr>
        <w:t xml:space="preserve">  S. </w:t>
      </w:r>
      <w:r>
        <w:rPr>
          <w:szCs w:val="24"/>
        </w:rPr>
        <w:t xml:space="preserve">1490 </w:t>
      </w:r>
      <w:r w:rsidRPr="000D2574">
        <w:rPr>
          <w:szCs w:val="24"/>
        </w:rPr>
        <w:t xml:space="preserve"> ff</w:t>
      </w:r>
      <w:r>
        <w:rPr>
          <w:szCs w:val="24"/>
        </w:rPr>
        <w:t>)</w:t>
      </w:r>
    </w:p>
    <w:p w:rsidR="00EA7EDC" w:rsidRPr="000D2574" w:rsidRDefault="00EA7EDC" w:rsidP="00EA7EDC">
      <w:pPr>
        <w:rPr>
          <w:szCs w:val="24"/>
        </w:rPr>
      </w:pP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</w:rPr>
        <w:t xml:space="preserve">Anmeldeschluss ist der </w:t>
      </w:r>
      <w:r>
        <w:rPr>
          <w:b/>
          <w:szCs w:val="24"/>
        </w:rPr>
        <w:t>25. September 2020</w:t>
      </w:r>
    </w:p>
    <w:p w:rsidR="00EA7EDC" w:rsidRPr="000D2574" w:rsidRDefault="00EA7EDC" w:rsidP="00EA7EDC">
      <w:pPr>
        <w:rPr>
          <w:szCs w:val="24"/>
        </w:rPr>
      </w:pP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</w:rPr>
        <w:t>Die Zwischenprüfung is</w:t>
      </w:r>
      <w:r>
        <w:rPr>
          <w:szCs w:val="24"/>
        </w:rPr>
        <w:t>t vorgesehen für Auszubildende nach Abschluss des ersten Ausbildungsjahres und soll am Anfang des zweiten Ausbildungsjahres stattfinden, § 6 Abs. 1 ReNoPatAusbV.</w:t>
      </w: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</w:p>
    <w:p w:rsidR="00EA7EDC" w:rsidRPr="000D2574" w:rsidRDefault="00EA7EDC" w:rsidP="00EA7EDC">
      <w:pPr>
        <w:rPr>
          <w:szCs w:val="24"/>
        </w:rPr>
      </w:pPr>
      <w:r w:rsidRPr="000D2574">
        <w:rPr>
          <w:szCs w:val="24"/>
          <w:u w:val="single"/>
        </w:rPr>
        <w:t>Die Kammervorstände weisen darauf hin, dass nur einmal jährlich - im Herbst eines jeden Kalenderjahres - eine Zwischenprüfung stattfinden wird.</w:t>
      </w:r>
    </w:p>
    <w:p w:rsidR="00EA7EDC" w:rsidRPr="000D2574" w:rsidRDefault="00EA7EDC" w:rsidP="00EA7EDC">
      <w:pPr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>Die einmalige Teilnahme der Auszubildenden an einer Zwischenprüfung ist Zulassungsvoraussetzung für die spätere Abschlussprüfung - § 43 Abs. 1 Ziff. 2 BBiG.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pStyle w:val="Textkrper2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Die Zwischenprüfung dient der Ermittlung des Ausbildungsstandes im Einzelfall, um ggf. korrigierend auf die weitere Ausbildung einwirken zu können.</w:t>
      </w:r>
      <w:r>
        <w:rPr>
          <w:rFonts w:ascii="Times New Roman" w:hAnsi="Times New Roman" w:cs="Times New Roman"/>
          <w:sz w:val="24"/>
          <w:szCs w:val="24"/>
        </w:rPr>
        <w:t xml:space="preserve"> Das Ergebnis der Zwischenprüfung hat keinen Einfluss auf das Ergebnis der Abschlussprüfung.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 xml:space="preserve">Gemäß § </w:t>
      </w:r>
      <w:r>
        <w:rPr>
          <w:szCs w:val="24"/>
        </w:rPr>
        <w:t>6</w:t>
      </w:r>
      <w:r w:rsidRPr="000D2574">
        <w:rPr>
          <w:szCs w:val="24"/>
        </w:rPr>
        <w:t xml:space="preserve"> Abs. 2 AusbildungsVO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ab/>
      </w:r>
      <w:r w:rsidRPr="000D2574">
        <w:rPr>
          <w:szCs w:val="24"/>
        </w:rPr>
        <w:t>- erstreckt sich die Zwischenprüf</w:t>
      </w:r>
      <w:r>
        <w:rPr>
          <w:szCs w:val="24"/>
        </w:rPr>
        <w:t xml:space="preserve">ung auf die in der Anlage </w:t>
      </w:r>
      <w:r w:rsidRPr="000D2574">
        <w:rPr>
          <w:szCs w:val="24"/>
        </w:rPr>
        <w:t>der</w:t>
      </w:r>
      <w:r>
        <w:rPr>
          <w:szCs w:val="24"/>
        </w:rPr>
        <w:t xml:space="preserve"> </w:t>
      </w:r>
      <w:r w:rsidRPr="000D2574">
        <w:rPr>
          <w:szCs w:val="24"/>
        </w:rPr>
        <w:t>ReNoPat-</w:t>
      </w:r>
      <w:r>
        <w:rPr>
          <w:szCs w:val="24"/>
        </w:rPr>
        <w:t xml:space="preserve">         </w:t>
      </w: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r w:rsidRPr="000D2574">
        <w:rPr>
          <w:szCs w:val="24"/>
        </w:rPr>
        <w:t xml:space="preserve">Ausbildungsverordnung vom </w:t>
      </w:r>
      <w:r>
        <w:rPr>
          <w:szCs w:val="24"/>
        </w:rPr>
        <w:t>29.08.2014  Abschnitt A</w:t>
      </w:r>
      <w:r w:rsidRPr="000D2574">
        <w:rPr>
          <w:szCs w:val="24"/>
        </w:rPr>
        <w:t xml:space="preserve"> für das erste</w:t>
      </w:r>
      <w:r>
        <w:rPr>
          <w:szCs w:val="24"/>
        </w:rPr>
        <w:t xml:space="preserve"> </w:t>
      </w:r>
      <w:r w:rsidRPr="000D2574">
        <w:rPr>
          <w:szCs w:val="24"/>
        </w:rPr>
        <w:t>Aus</w:t>
      </w:r>
      <w:r>
        <w:rPr>
          <w:szCs w:val="24"/>
        </w:rPr>
        <w:t xml:space="preserve">-  </w:t>
      </w: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r w:rsidRPr="000D2574">
        <w:rPr>
          <w:szCs w:val="24"/>
        </w:rPr>
        <w:t xml:space="preserve">bildungsjahr </w:t>
      </w:r>
      <w:r>
        <w:rPr>
          <w:szCs w:val="24"/>
        </w:rPr>
        <w:t xml:space="preserve">genannten berufsübergreifenden berufsprofilgebenden </w:t>
      </w: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Fertigkeiten, </w:t>
      </w:r>
      <w:r w:rsidRPr="000D2574">
        <w:rPr>
          <w:szCs w:val="24"/>
        </w:rPr>
        <w:t>Kenntnisse</w:t>
      </w:r>
      <w:r>
        <w:rPr>
          <w:szCs w:val="24"/>
        </w:rPr>
        <w:t xml:space="preserve"> und Fähigkeiten, die in der Anlage Abschnitt F </w:t>
      </w: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genannten berufsübergreifenden integrativen Fertigkeiten, Kenntnisse und </w:t>
      </w:r>
    </w:p>
    <w:p w:rsidR="00EA7EDC" w:rsidRDefault="00EA7EDC" w:rsidP="00EA7EDC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Fähigkeiten</w:t>
      </w:r>
      <w:r w:rsidRPr="000D2574">
        <w:rPr>
          <w:szCs w:val="24"/>
        </w:rPr>
        <w:t xml:space="preserve"> sowie auf den im Berufsschulunterricht zu vermittelnden </w:t>
      </w:r>
      <w:r>
        <w:rPr>
          <w:szCs w:val="24"/>
        </w:rPr>
        <w:t xml:space="preserve">   </w:t>
      </w:r>
    </w:p>
    <w:p w:rsidR="00EA7EDC" w:rsidRDefault="00EA7EDC" w:rsidP="00EA7EDC">
      <w:pPr>
        <w:tabs>
          <w:tab w:val="left" w:pos="1418"/>
          <w:tab w:val="left" w:pos="1560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r w:rsidRPr="000D2574">
        <w:rPr>
          <w:szCs w:val="24"/>
        </w:rPr>
        <w:t xml:space="preserve">Lehrstoff, soweit er für die Berufsausbildung wesentlich ist. </w:t>
      </w:r>
    </w:p>
    <w:p w:rsidR="00EA7EDC" w:rsidRPr="000D2574" w:rsidRDefault="00EA7EDC" w:rsidP="00EA7EDC">
      <w:pPr>
        <w:tabs>
          <w:tab w:val="left" w:pos="1560"/>
        </w:tabs>
        <w:ind w:left="1560" w:hanging="1560"/>
        <w:jc w:val="both"/>
        <w:rPr>
          <w:szCs w:val="24"/>
        </w:rPr>
      </w:pPr>
      <w:r>
        <w:rPr>
          <w:szCs w:val="24"/>
        </w:rPr>
        <w:tab/>
      </w:r>
    </w:p>
    <w:p w:rsidR="00EA7EDC" w:rsidRPr="000D2574" w:rsidRDefault="00EA7EDC" w:rsidP="00EA7EDC">
      <w:pPr>
        <w:pStyle w:val="Textkrper2"/>
        <w:tabs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findet die Zwischenprüfung in folgenden Prüfungsbereichen statt</w:t>
      </w:r>
      <w:r w:rsidRPr="000D2574">
        <w:rPr>
          <w:rFonts w:ascii="Times New Roman" w:hAnsi="Times New Roman" w:cs="Times New Roman"/>
          <w:sz w:val="24"/>
          <w:szCs w:val="24"/>
        </w:rPr>
        <w:t>: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  <w:t xml:space="preserve">1. </w:t>
      </w:r>
      <w:r>
        <w:rPr>
          <w:szCs w:val="24"/>
        </w:rPr>
        <w:t>Kommunikation und Büroorganisation sowie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  <w:t>2.</w:t>
      </w:r>
      <w:r>
        <w:rPr>
          <w:szCs w:val="24"/>
        </w:rPr>
        <w:t xml:space="preserve"> Rechtsanwendung</w:t>
      </w:r>
      <w:r w:rsidRPr="000D2574">
        <w:rPr>
          <w:szCs w:val="24"/>
        </w:rPr>
        <w:t xml:space="preserve">   </w:t>
      </w:r>
    </w:p>
    <w:p w:rsidR="00EA7EDC" w:rsidRPr="000D2574" w:rsidRDefault="00EA7EDC" w:rsidP="00EA7EDC">
      <w:pPr>
        <w:tabs>
          <w:tab w:val="left" w:pos="1418"/>
        </w:tabs>
        <w:jc w:val="both"/>
        <w:rPr>
          <w:szCs w:val="24"/>
        </w:rPr>
      </w:pPr>
      <w:r w:rsidRPr="000D2574">
        <w:rPr>
          <w:szCs w:val="24"/>
        </w:rPr>
        <w:t xml:space="preserve">     </w:t>
      </w:r>
      <w:r w:rsidRPr="000D2574">
        <w:rPr>
          <w:szCs w:val="24"/>
        </w:rPr>
        <w:tab/>
      </w:r>
      <w:r w:rsidRPr="000D2574">
        <w:rPr>
          <w:szCs w:val="24"/>
        </w:rPr>
        <w:tab/>
      </w:r>
    </w:p>
    <w:p w:rsidR="00EA7EDC" w:rsidRDefault="00EA7EDC" w:rsidP="00EA7EDC">
      <w:pPr>
        <w:jc w:val="both"/>
        <w:rPr>
          <w:szCs w:val="24"/>
        </w:rPr>
      </w:pPr>
      <w:r w:rsidRPr="000D2574">
        <w:rPr>
          <w:szCs w:val="24"/>
        </w:rPr>
        <w:t>Die P</w:t>
      </w:r>
      <w:r>
        <w:rPr>
          <w:szCs w:val="24"/>
        </w:rPr>
        <w:t>rüfungszeit beträgt je Prüfungsbereich 60 Minuten, insgesamt für beide Prüfungsbereiche 120 Minuten.</w:t>
      </w:r>
    </w:p>
    <w:p w:rsidR="00EA7EDC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jc w:val="both"/>
        <w:rPr>
          <w:szCs w:val="24"/>
        </w:rPr>
      </w:pPr>
    </w:p>
    <w:p w:rsidR="00EA7EDC" w:rsidRDefault="00EA7EDC" w:rsidP="00EA7EDC">
      <w:pPr>
        <w:jc w:val="both"/>
        <w:rPr>
          <w:szCs w:val="24"/>
        </w:rPr>
      </w:pPr>
      <w:r>
        <w:rPr>
          <w:szCs w:val="24"/>
        </w:rPr>
        <w:t xml:space="preserve">In der Zwischenprüfung sind fallbezogene Aufgaben </w:t>
      </w:r>
      <w:r w:rsidRPr="00897A32">
        <w:rPr>
          <w:szCs w:val="24"/>
          <w:u w:val="single"/>
        </w:rPr>
        <w:t>schriftlich</w:t>
      </w:r>
      <w:r>
        <w:rPr>
          <w:szCs w:val="24"/>
        </w:rPr>
        <w:t xml:space="preserve"> zu bearbeiten.</w:t>
      </w:r>
    </w:p>
    <w:p w:rsidR="00EA7EDC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 xml:space="preserve">Diejenigen Kolleginnen und Kollegen, welche für diese Zwischenprüfung am </w:t>
      </w:r>
      <w:r>
        <w:rPr>
          <w:szCs w:val="24"/>
        </w:rPr>
        <w:t>7</w:t>
      </w:r>
      <w:r w:rsidRPr="000D2574">
        <w:rPr>
          <w:szCs w:val="24"/>
        </w:rPr>
        <w:t>. Nove</w:t>
      </w:r>
      <w:r>
        <w:rPr>
          <w:szCs w:val="24"/>
        </w:rPr>
        <w:t xml:space="preserve">mber  2020 </w:t>
      </w:r>
      <w:r w:rsidRPr="000D2574">
        <w:rPr>
          <w:szCs w:val="24"/>
        </w:rPr>
        <w:t>Auszubildende anzumelden haben, werden um Meldung bis zum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>
        <w:rPr>
          <w:b/>
          <w:szCs w:val="24"/>
          <w:u w:val="single"/>
        </w:rPr>
        <w:t>25. September 2020</w:t>
      </w: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>gebeten.</w:t>
      </w:r>
    </w:p>
    <w:p w:rsidR="00EA7EDC" w:rsidRPr="000D2574" w:rsidRDefault="00EA7EDC" w:rsidP="00EA7EDC">
      <w:pPr>
        <w:jc w:val="both"/>
        <w:rPr>
          <w:szCs w:val="24"/>
        </w:rPr>
      </w:pP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Es wird gebeten, diesen Termin unbedingt einzuhalten; </w:t>
      </w:r>
      <w:r w:rsidRPr="000D2574">
        <w:rPr>
          <w:rFonts w:ascii="Times New Roman" w:hAnsi="Times New Roman" w:cs="Times New Roman"/>
          <w:b/>
          <w:bCs/>
          <w:sz w:val="24"/>
          <w:szCs w:val="24"/>
          <w:u w:val="single"/>
        </w:rPr>
        <w:t>verspätete Anmeldungen bzw. die verspätete Vorlage der unten</w:t>
      </w:r>
      <w:r w:rsidRPr="000D25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aufgeführten Anmeldungsunterlagen, können eine Nichtzulassung zur Folge haben. </w:t>
      </w: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Achtung: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D2574">
        <w:rPr>
          <w:rFonts w:ascii="Times New Roman" w:hAnsi="Times New Roman" w:cs="Times New Roman"/>
          <w:b/>
          <w:bCs/>
          <w:sz w:val="24"/>
          <w:szCs w:val="24"/>
        </w:rPr>
        <w:t>ie vollständigen Prüfungsunterlagen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reichen Sie bitte</w:t>
      </w: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 bei der Geschäftsstelle der Rechtsanwaltskammer, Gottorfstraße 13, 24837 Schleswig, ein!</w:t>
      </w:r>
    </w:p>
    <w:p w:rsidR="00EA7EDC" w:rsidRPr="000D2574" w:rsidRDefault="00EA7EDC" w:rsidP="00EA7EDC">
      <w:pPr>
        <w:rPr>
          <w:b/>
          <w:bCs/>
          <w:szCs w:val="24"/>
        </w:rPr>
      </w:pPr>
    </w:p>
    <w:p w:rsidR="00EA7EDC" w:rsidRPr="000D2574" w:rsidRDefault="00EA7EDC" w:rsidP="00EA7EDC">
      <w:pPr>
        <w:rPr>
          <w:b/>
          <w:bCs/>
          <w:szCs w:val="24"/>
        </w:rPr>
      </w:pPr>
    </w:p>
    <w:p w:rsidR="00EA7EDC" w:rsidRPr="000D2574" w:rsidRDefault="00EA7EDC" w:rsidP="00EA7EDC">
      <w:pPr>
        <w:jc w:val="both"/>
        <w:rPr>
          <w:szCs w:val="24"/>
        </w:rPr>
      </w:pPr>
      <w:r w:rsidRPr="000D2574">
        <w:rPr>
          <w:szCs w:val="24"/>
        </w:rPr>
        <w:t>Die Anmeldung zur Zwischenprüfung ist auf dem als Anlage beigefügten Anmeldungsbogen vorzunehmen. Zusammen mit dem Anmeldungsbogen ist die ärztliche Bescheinigung über die 1. Nachuntersuchung des/der Prüfungsteilnehmers/in auf dafür vorgeschriebenen amtlichen Vordruck zur Einsicht einzureichen - § 33 JArbSchG n.F.</w:t>
      </w: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Die Pflicht zur Vorlage der ärztl. Bescheinigung besteht nur für </w:t>
      </w:r>
      <w:r w:rsidRPr="000D2574">
        <w:rPr>
          <w:szCs w:val="24"/>
          <w:u w:val="single"/>
        </w:rPr>
        <w:t>jugendliche</w:t>
      </w:r>
      <w:r w:rsidRPr="000D2574">
        <w:rPr>
          <w:szCs w:val="24"/>
        </w:rPr>
        <w:t xml:space="preserve"> Auszubildende, die zu Beginn des zweiten Ausbildungsjahres das </w:t>
      </w:r>
      <w:r w:rsidRPr="000D2574">
        <w:rPr>
          <w:szCs w:val="24"/>
          <w:u w:val="single"/>
        </w:rPr>
        <w:t xml:space="preserve">18. </w:t>
      </w:r>
      <w:r w:rsidRPr="000D2574">
        <w:rPr>
          <w:szCs w:val="24"/>
        </w:rPr>
        <w:t>Lebensjahr nicht vollendet haben. Die Eintragung des Berufsausbildungsverhältnisses des/der Prüfungsteilnehmers/in wird im Ausbildungsverzeichnis der Rechtsanwaltskammer gelöscht, wenn eine ordnungsgemäße Bescheinigung nicht rechtzeitig beigebracht wird - § 35 Abs. 2 S. 2 BBiG.</w:t>
      </w: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>Die Teilnahme an der Prüfung ist Pflicht eines/r jeden Auszubildenden, der/die zugelassen ist. Die Prüfungsteilnehmer haben sich gegebenenfalls über ihre Person auszuweisen. Prüfungsteilnehmer/innen, die die Besorgnis der Befangenheit eines Mitgliedes des Prüfungsausschusses geltend machen wollen, haben dies der Rechtsanwaltskammer und der Notarkammer mitzuteilen, während der Prü</w:t>
      </w:r>
      <w:r>
        <w:rPr>
          <w:szCs w:val="24"/>
        </w:rPr>
        <w:t>fung dem Prüfungsausschuss. Im Ü</w:t>
      </w:r>
      <w:r w:rsidRPr="000D2574">
        <w:rPr>
          <w:szCs w:val="24"/>
        </w:rPr>
        <w:t>brigen wird auf die Regelungen zur Befangenheit verwiesen (s. Abdruck am Ende des Merkblattes).</w:t>
      </w: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</w:p>
    <w:p w:rsidR="00EA7EDC" w:rsidRPr="000D2574" w:rsidRDefault="00EA7EDC" w:rsidP="00EA7EDC">
      <w:pPr>
        <w:pStyle w:val="Textkrper2"/>
        <w:tabs>
          <w:tab w:val="clear" w:pos="1560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Weitere Mitteilungen der örtlichen Prüfungsausschüsse folgen zu gegebener Zeit.</w:t>
      </w: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  <w:r w:rsidRPr="000D2574">
        <w:rPr>
          <w:szCs w:val="24"/>
          <w:u w:val="single"/>
        </w:rPr>
        <w:t>Befangenheitsregelung:</w:t>
      </w:r>
    </w:p>
    <w:p w:rsidR="00EA7EDC" w:rsidRPr="000D2574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(1) </w:t>
      </w:r>
      <w:r w:rsidRPr="000D2574">
        <w:rPr>
          <w:szCs w:val="24"/>
        </w:rPr>
        <w:tab/>
        <w:t xml:space="preserve">Bei der Zulassung und Prüfung dürfen  Prüfungsausschussmitglieder nicht mitwirken,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ab/>
        <w:t xml:space="preserve">die mit dem/der Prüfungsbewerber/-in </w:t>
      </w:r>
      <w:r>
        <w:rPr>
          <w:szCs w:val="24"/>
        </w:rPr>
        <w:t xml:space="preserve">verlobt oder verlobt gewesen sind, </w:t>
      </w:r>
      <w:r w:rsidRPr="000D2574">
        <w:rPr>
          <w:szCs w:val="24"/>
        </w:rPr>
        <w:t xml:space="preserve">verheiratet oder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0D2574">
        <w:rPr>
          <w:szCs w:val="24"/>
        </w:rPr>
        <w:t>verheiratet gewesen</w:t>
      </w:r>
      <w:r>
        <w:rPr>
          <w:szCs w:val="24"/>
        </w:rPr>
        <w:t xml:space="preserve"> sind, in eingetragener Lebenspartnerschaft leben oder gelebt haben,   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  <w:t xml:space="preserve">in einer Partnerschaft außerhalb des Lebenspartnerschaftsgesetzes leben oder gelebt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  <w:t>haben,</w:t>
      </w:r>
      <w:r w:rsidRPr="000D2574">
        <w:rPr>
          <w:szCs w:val="24"/>
        </w:rPr>
        <w:t xml:space="preserve"> in gerader Linie verwandt oder verschwägert </w:t>
      </w:r>
      <w:r>
        <w:rPr>
          <w:szCs w:val="24"/>
        </w:rPr>
        <w:t xml:space="preserve">sind oder waren, Geschwister oder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  <w:t xml:space="preserve">Kinder der Geschwister sind, Ehegatten oder eingetragene Lebenspartner der Geschwister </w:t>
      </w:r>
    </w:p>
    <w:p w:rsidR="00EA7EDC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  <w:t xml:space="preserve">und Geschwister der Ehegatten oder eingetragene Lebenspartner sind oder waren, </w:t>
      </w:r>
    </w:p>
    <w:p w:rsidR="00EA7EDC" w:rsidRPr="000D2574" w:rsidRDefault="00EA7EDC" w:rsidP="00EA7EDC">
      <w:pPr>
        <w:tabs>
          <w:tab w:val="left" w:pos="426"/>
          <w:tab w:val="left" w:pos="3544"/>
        </w:tabs>
        <w:ind w:left="420"/>
        <w:jc w:val="both"/>
        <w:rPr>
          <w:szCs w:val="24"/>
        </w:rPr>
      </w:pPr>
      <w:r>
        <w:rPr>
          <w:szCs w:val="24"/>
        </w:rPr>
        <w:tab/>
        <w:t xml:space="preserve">Geschwister der Eltern sind, Personen die durch ein auf längere Dauer angelegtes Pflegeverhältnis mit häuslicher Gemeinschaft wie Eltern und Kind miteinander verbunden sind oder waren oder </w:t>
      </w:r>
      <w:r w:rsidRPr="000D2574">
        <w:rPr>
          <w:szCs w:val="24"/>
        </w:rPr>
        <w:t xml:space="preserve">durch Annahme an Kindes Statt verbunden </w:t>
      </w:r>
      <w:r>
        <w:rPr>
          <w:szCs w:val="24"/>
        </w:rPr>
        <w:t>sind</w:t>
      </w: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</w:p>
    <w:p w:rsidR="00EA7EDC" w:rsidRPr="000D2574" w:rsidRDefault="00EA7EDC" w:rsidP="00EA7EDC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(2) </w:t>
      </w:r>
      <w:r w:rsidRPr="000D2574">
        <w:rPr>
          <w:rFonts w:ascii="Times New Roman" w:hAnsi="Times New Roman" w:cs="Times New Roman"/>
          <w:sz w:val="24"/>
          <w:szCs w:val="24"/>
        </w:rPr>
        <w:tab/>
        <w:t>Mitwirken sollen ebenfalls nicht der/die Ausbildende und der/die von ihm/ihr beauftragte Ausbilder/-in, soweit nicht besondere Umstände eine Mitwirkung zulassen oder erfordern.</w:t>
      </w:r>
    </w:p>
    <w:p w:rsidR="00EA7EDC" w:rsidRPr="000D2574" w:rsidRDefault="00EA7EDC" w:rsidP="00EA7EDC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</w:p>
    <w:p w:rsidR="00EA7EDC" w:rsidRPr="000D2574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lastRenderedPageBreak/>
        <w:t xml:space="preserve">(3) </w:t>
      </w:r>
      <w:r w:rsidRPr="000D2574">
        <w:rPr>
          <w:szCs w:val="24"/>
        </w:rPr>
        <w:tab/>
        <w:t>Prüfungsausschussmitglieder, die sich befangen fühlen oder Prüfungsteilnehmer/-innen,</w:t>
      </w: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  <w:t xml:space="preserve">die die Besorgnis der Befangenheit geltend machen wollen, haben dies der  </w:t>
      </w: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ab/>
        <w:t>Rechtsanwaltskammer mitzuteilen, während der Prüfung dem Prüfungsausschuss.</w:t>
      </w:r>
    </w:p>
    <w:p w:rsidR="00EA7EDC" w:rsidRPr="000D2574" w:rsidRDefault="00EA7EDC" w:rsidP="00EA7EDC">
      <w:pPr>
        <w:tabs>
          <w:tab w:val="left" w:pos="3544"/>
        </w:tabs>
        <w:jc w:val="both"/>
        <w:rPr>
          <w:szCs w:val="24"/>
        </w:rPr>
      </w:pPr>
    </w:p>
    <w:p w:rsidR="00EA7EDC" w:rsidRPr="000D2574" w:rsidRDefault="00EA7EDC" w:rsidP="00EA7EDC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(4) </w:t>
      </w:r>
      <w:r w:rsidRPr="000D2574">
        <w:rPr>
          <w:szCs w:val="24"/>
        </w:rPr>
        <w:tab/>
        <w:t>Die Entscheidung über den Ausschluss von der Mitwirkung treffen die Rechtsanwalts-</w:t>
      </w:r>
    </w:p>
    <w:p w:rsidR="00EA7EDC" w:rsidRPr="000D2574" w:rsidRDefault="00EA7EDC" w:rsidP="00EA7EDC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  <w:t>kammer; während der Prüfung der Prüfungsausschuss.</w:t>
      </w: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</w:p>
    <w:p w:rsidR="00EA7EDC" w:rsidRPr="000D2574" w:rsidRDefault="00EA7EDC" w:rsidP="00EA7EDC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(5) </w:t>
      </w:r>
      <w:r w:rsidRPr="000D2574">
        <w:rPr>
          <w:rFonts w:ascii="Times New Roman" w:hAnsi="Times New Roman" w:cs="Times New Roman"/>
          <w:sz w:val="24"/>
          <w:szCs w:val="24"/>
        </w:rPr>
        <w:tab/>
        <w:t>Wenn infolge Befangenheit eine ordnungsgemäße Besetzung des Prüfungsaussc</w:t>
      </w:r>
      <w:r>
        <w:rPr>
          <w:rFonts w:ascii="Times New Roman" w:hAnsi="Times New Roman" w:cs="Times New Roman"/>
          <w:sz w:val="24"/>
          <w:szCs w:val="24"/>
        </w:rPr>
        <w:t>husses nicht möglich ist, kann</w:t>
      </w:r>
      <w:r w:rsidRPr="000D2574">
        <w:rPr>
          <w:rFonts w:ascii="Times New Roman" w:hAnsi="Times New Roman" w:cs="Times New Roman"/>
          <w:sz w:val="24"/>
          <w:szCs w:val="24"/>
        </w:rPr>
        <w:t xml:space="preserve"> die Rechtsanwaltskammer die Durchführung der Prüfung einem anderen Prüfungsausschuss übertragen. </w:t>
      </w:r>
      <w:r w:rsidRPr="000D25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</w: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  <w:r w:rsidRPr="000D2574">
        <w:rPr>
          <w:szCs w:val="24"/>
          <w:u w:val="single"/>
        </w:rPr>
        <w:t>Zulassung von Gesetzestexten in den Prüfungen:</w:t>
      </w: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  <w:r w:rsidRPr="000D2574">
        <w:rPr>
          <w:szCs w:val="24"/>
        </w:rPr>
        <w:t>s. beiliegendes Merkblatt.</w:t>
      </w:r>
    </w:p>
    <w:p w:rsidR="00EA7EDC" w:rsidRPr="000D2574" w:rsidRDefault="00EA7EDC" w:rsidP="00EA7EDC">
      <w:pPr>
        <w:tabs>
          <w:tab w:val="left" w:pos="3544"/>
        </w:tabs>
        <w:rPr>
          <w:szCs w:val="24"/>
        </w:rPr>
      </w:pPr>
    </w:p>
    <w:p w:rsidR="00EA7EDC" w:rsidRPr="000D2574" w:rsidRDefault="00EA7EDC" w:rsidP="00EA7EDC">
      <w:pPr>
        <w:pStyle w:val="Textkrper2"/>
        <w:tabs>
          <w:tab w:val="clear" w:pos="1560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Im Übrigen haben die Prüfungsteilnehmer Papier, Schreibutensilien, Heftklammern u.ä. mitzubringen.</w:t>
      </w:r>
    </w:p>
    <w:p w:rsidR="00EA7EDC" w:rsidRDefault="00EA7EDC" w:rsidP="00EA7EDC">
      <w:pPr>
        <w:tabs>
          <w:tab w:val="left" w:pos="3544"/>
        </w:tabs>
        <w:rPr>
          <w:rFonts w:ascii="Arial" w:hAnsi="Arial" w:cs="Arial"/>
          <w:sz w:val="22"/>
        </w:rPr>
      </w:pPr>
    </w:p>
    <w:p w:rsidR="00EA7EDC" w:rsidRDefault="00EA7EDC" w:rsidP="00EA7EDC">
      <w:r>
        <w:t xml:space="preserve">                                                                </w:t>
      </w:r>
    </w:p>
    <w:p w:rsidR="00EA7EDC" w:rsidRDefault="00EA7EDC" w:rsidP="00EA7EDC">
      <w:r>
        <w:tab/>
      </w:r>
    </w:p>
    <w:p w:rsidR="00EA7EDC" w:rsidRDefault="00EA7EDC" w:rsidP="00EA7EDC">
      <w:r>
        <w:tab/>
      </w:r>
      <w:r>
        <w:tab/>
      </w:r>
    </w:p>
    <w:p w:rsidR="0074299D" w:rsidRDefault="0074299D">
      <w:bookmarkStart w:id="0" w:name="_GoBack"/>
      <w:bookmarkEnd w:id="0"/>
    </w:p>
    <w:sectPr w:rsidR="0074299D" w:rsidSect="009905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1418" w:bottom="851" w:left="1418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A" w:rsidRDefault="00EA7E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DC"/>
    <w:rsid w:val="0074299D"/>
    <w:rsid w:val="00EA7EDC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DBFD-FC8D-4D76-944F-3FB3347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7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EA7EDC"/>
    <w:pPr>
      <w:tabs>
        <w:tab w:val="left" w:pos="426"/>
        <w:tab w:val="left" w:pos="3544"/>
      </w:tabs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EA7EDC"/>
    <w:rPr>
      <w:rFonts w:ascii="Arial" w:eastAsia="Times New Roman" w:hAnsi="Arial" w:cs="Arial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A7EDC"/>
    <w:pPr>
      <w:tabs>
        <w:tab w:val="left" w:pos="426"/>
        <w:tab w:val="left" w:pos="3544"/>
      </w:tabs>
      <w:ind w:left="420" w:hanging="420"/>
    </w:pPr>
    <w:rPr>
      <w:rFonts w:ascii="Arial" w:hAnsi="Arial" w:cs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7EDC"/>
    <w:rPr>
      <w:rFonts w:ascii="Arial" w:eastAsia="Times New Roman" w:hAnsi="Arial" w:cs="Arial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EA7EDC"/>
    <w:pPr>
      <w:tabs>
        <w:tab w:val="left" w:pos="1560"/>
      </w:tabs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EA7EDC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E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ED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E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ED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ausb</dc:creator>
  <cp:keywords/>
  <dc:description/>
  <cp:lastModifiedBy>ausb</cp:lastModifiedBy>
  <cp:revision>1</cp:revision>
  <dcterms:created xsi:type="dcterms:W3CDTF">2019-10-24T07:49:00Z</dcterms:created>
  <dcterms:modified xsi:type="dcterms:W3CDTF">2019-10-24T07:50:00Z</dcterms:modified>
</cp:coreProperties>
</file>